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그림과같이전단연결재로연결된합성거더의단면이부모멘트를받고있다.이때 소성중립축위치를검토하고소성모멘트를구하시오. (단,콘크리트의설계기준압축강도fck=30MPa,강재의항복강도fy=340MPa이다. 상부철근단면적은1800mm2,하부철근단면적은1000mm2이며철근의 최소항복강...</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그림과같이전단연결재로연결된합성거더의단면이부모멘트를받고있다.이때 소성중립축위치를검토하고소성모멘트를구하시오. (단,콘크리트의설계기준압축강도fck=30MPa,강재의항복강도fy=340MPa이다. 상부철근단면적은1800mm2,하부철근단면적은1000mm2이며철근의 최소항복강...에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제122회 토목구조기술사  |  3교시 4번  |  그림과같이전단연결재로연결된합성거더의단면이부모멘트를받고있다.이때 소성중립축위치를검토하고소성모멘트를구하시오. (단,콘크리트의설계기준압축강도fck=30MPa,강재의항복강도fy=340MPa이다. 상부철근단면적은1800mm2,하부철근단면적은1000mm2이며철근의 최소항복강...</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