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아래그림과같이강종SM355강재의L형강(L-150×150×12) 부재가M22(F10T)고장력 볼트로연결된경우,L형강의파단한계상태와설계강도를검토하시오. (단,유효순단면적은순단면적의85%,구멍의지름은25mm,SM355의항복응력(Fy)은 355MPa,인장응력(Fu)은49...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아래그림과같이강종SM355강재의L형강(L-150×150×12) 부재가M22(F10T)고장력 볼트로연결된경우,L형강의파단한계상태와설계강도를검토하시오. (단,유효순단면적은순단면적의85%,구멍의지름은25mm,SM355의항복응력(Fy)은 355MPa,인장응력(Fu)은49...에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2교시 5번  |  아래그림과같이강종SM355강재의L형강(L-150×150×12) 부재가M22(F10T)고장력 볼트로연결된경우,L형강의파단한계상태와설계강도를검토하시오. (단,유효순단면적은순단면적의85%,구멍의지름은25mm,SM355의항복응력(Fy)은 355MPa,인장응력(Fu)은49...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