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아래그림과같은PSC거더교량을설계할때도로교설계기준에 의한바닥판의경험적 설계법을설명하고,단면중앙부바닥판의철근배근을계획하시오. (단,교량폭은11.9m,상부플랜지폭은0.7m,철근(H16)단면적은198.6mm2으로한다.) 3@3.100=9.300 1.300 * 상부플랜지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아래그림과같은PSC거더교량을설계할때도로교설계기준에 의한바닥판의경험적 설계법을설명하고,단면중앙부바닥판의철근배근을계획하시오. (단,교량폭은11.9m,상부플랜지폭은0.7m,철근(H16)단면적은198.6mm2으로한다.) 3@3.100=9.300 1.300 * 상부플랜지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2교시 6번  |  아래그림과같은PSC거더교량을설계할때도로교설계기준에 의한바닥판의경험적 설계법을설명하고,단면중앙부바닥판의철근배근을계획하시오. (단,교량폭은11.9m,상부플랜지폭은0.7m,철근(H16)단면적은198.6mm2으로한다.) 3@3.100=9.300 1.300 * 상부플랜지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