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12.  </w:t>
            </w:r>
            <w:r>
              <w:rPr>
                <w:rFonts w:ascii="Malgun Gothic" w:hAnsi="Malgun Gothic" w:eastAsia="Malgun Gothic"/>
                <w:b/>
                <w:i w:val="0"/>
                <w:color w:val="0D1B2A"/>
                <w:sz w:val="24"/>
              </w:rPr>
              <w:t>공항시설물중교량및지중구조물에대한내진등급의분류기준에대하여설명하시오.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공항시설물중교량및지중구조물에대한내진등급의분류기준에대하여설명하시오.에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1교시 12번  |  공항시설물중교량및지중구조물에대한내진등급의분류기준에대하여설명하시오.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