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7</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7.  </w:t>
            </w:r>
            <w:r>
              <w:rPr>
                <w:rFonts w:ascii="Malgun Gothic" w:hAnsi="Malgun Gothic" w:eastAsia="Malgun Gothic"/>
                <w:b/>
                <w:i w:val="0"/>
                <w:color w:val="0D1B2A"/>
                <w:sz w:val="24"/>
              </w:rPr>
              <w:t>강재취성파괴의정의및강재취성파괴방지를위해설계시고려해야할사항을설명하시오.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강재취성파괴의정의및강재취성파괴방지를위해설계시고려해야할사항을설명하시오.에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제124회 토목구조기술사  |  1교시 7번  |  강재취성파괴의정의및강재취성파괴방지를위해설계시고려해야할사항을설명하시오.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