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8</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8.  </w:t>
            </w:r>
            <w:r>
              <w:rPr>
                <w:rFonts w:ascii="Malgun Gothic" w:hAnsi="Malgun Gothic" w:eastAsia="Malgun Gothic"/>
                <w:b/>
                <w:i w:val="0"/>
                <w:color w:val="0D1B2A"/>
                <w:sz w:val="24"/>
              </w:rPr>
              <w:t>강합성판형교에서 비보강복부판과보강된복부판에대한후좌굴강도에대하여설명하시오.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강합성판형교에서 비보강복부판과보강된복부판에대한후좌굴강도에대하여설명하시오.에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1교시 8번  |  강합성판형교에서 비보강복부판과보강된복부판에대한후좌굴강도에대하여설명하시오.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