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50kN의고정하중(DL),300kN의활하중(LL)이작용하는인장부재에대하여맞대기 용접시에필요한강재의두께를항복상태와파단상태를모두고려하여결정하시오. (단,사용강재의강도는=235MPa,=400MPa,고정하중계수1.2,활하중계수1.6, 항복시강재강도감소계수0.9,파...</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50kN의고정하중(DL),300kN의활하중(LL)이작용하는인장부재에대하여맞대기 용접시에필요한강재의두께를항복상태와파단상태를모두고려하여결정하시오. (단,사용강재의강도는=235MPa,=400MPa,고정하중계수1.2,활하중계수1.6, 항복시강재강도감소계수0.9,파...에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3교시 6번  |  50kN의고정하중(DL),300kN의활하중(LL)이작용하는인장부재에대하여맞대기 용접시에필요한강재의두께를항복상태와파단상태를모두고려하여결정하시오. (단,사용강재의강도는=235MPa,=400MPa,고정하중계수1.2,활하중계수1.6, 항복시강재강도감소계수0.9,파...</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