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B점의극한한계상태시전단력을구하시오. (단,프리스트레스트콘크리트박스거더단면을제외한기타부재의자중및비틀림의 영향은무시한다.)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B점의극한한계상태시전단력을구하시오. (단,프리스트레스트콘크리트박스거더단면을제외한기타부재의자중및비틀림의 영향은무시한다.)에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4교시 1번  |  B점의극한한계상태시전단력을구하시오. (단,프리스트레스트콘크리트박스거더단면을제외한기타부재의자중및비틀림의 영향은무시한다.)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