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시설별내진설계기준의일관성을위하여상위기준인“내진설계일반(KDS171000)”이 제정되었다.도로교의경우기존설계기준과비교하여변경된주요내용에대하여설명 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시설별내진설계기준의일관성을위하여상위기준인“내진설계일반(KDS171000)”이 제정되었다.도로교의경우기존설계기준과비교하여변경된주요내용에대하여설명 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제124회 토목구조기술사  |  4교시 2번  |  시설별내진설계기준의일관성을위하여상위기준인“내진설계일반(KDS171000)”이 제정되었다.도로교의경우기존설계기준과비교하여변경된주요내용에대하여설명 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