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B점의극한한계상태전단에대해서설계하시오. (단,①복부트러스각도는45°로가정 ②전단철근검토시횡방향해석의복부휨강도에필요한주철근은고려하지않음 ③철근단면적(Av):D25=506.7mm2 ④철근배치간격(S):150mm) (교량경간구성) 6–3 국가기술자격기술사시험문제 기술사...</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B점의극한한계상태전단에대해서설계하시오. (단,①복부트러스각도는45°로가정 ②전단철근검토시횡방향해석의복부휨강도에필요한주철근은고려하지않음 ③철근단면적(Av):D25=506.7mm2 ④철근배치간격(S):150mm) (교량경간구성) 6–3 국가기술자격기술사시험문제 기술사...에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4교시 2번  |  B점의극한한계상태전단에대해서설계하시오. (단,①복부트러스각도는45°로가정 ②전단철근검토시횡방향해석의복부휨강도에필요한주철근은고려하지않음 ③철근단면적(Av):D25=506.7mm2 ④철근배치간격(S):150mm) (교량경간구성) 6–3 국가기술자격기술사시험문제 기술사...</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