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아래그림과같은지형에1)슬래브교,2)라멘교형식적용성을검토하고자한다.각각의 형식에대하여하부구조단위폭(1.0m)당고유진동수를구하고,동적거동측면에서의 특징을설명하시오. (단,철근콘크리트단위중량=24kN/m3,콘크리트탄성계수=2.3×104MPa, 받침물성치,토압,기...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아래그림과같은지형에1)슬래브교,2)라멘교형식적용성을검토하고자한다.각각의 형식에대하여하부구조단위폭(1.0m)당고유진동수를구하고,동적거동측면에서의 특징을설명하시오. (단,철근콘크리트단위중량=24kN/m3,콘크리트탄성계수=2.3×104MPa, 받침물성치,토압,기...에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4교시 6번  |  아래그림과같은지형에1)슬래브교,2)라멘교형식적용성을검토하고자한다.각각의 형식에대하여하부구조단위폭(1.0m)당고유진동수를구하고,동적거동측면에서의 특징을설명하시오. (단,철근콘크리트단위중량=24kN/m3,콘크리트탄성계수=2.3×104MPa, 받침물성치,토압,기...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