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그림과같은2련암거에대한구조해석및단면검토결과각부재의설계철근량이 다음표와같이계산되었다.암거의주철근조립도를 그리시오. (2경간) (1경간) 부재위치 설계철근량 상부슬래브좌측단부 H29–8EA 1경간중앙부 H29–4EA+H25-4EA 중간지점부 H32–8EA 2경간중앙부...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그림과같은2련암거에대한구조해석및단면검토결과각부재의설계철근량이 다음표와같이계산되었다.암거의주철근조립도를 그리시오. (2경간) (1경간) 부재위치 설계철근량 상부슬래브좌측단부 H29–8EA 1경간중앙부 H29–4EA+H25-4EA 중간지점부 H32–8EA 2경간중앙부...에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제125회 토목구조기술사  |  1교시 11번  |  그림과같은2련암거에대한구조해석및단면검토결과각부재의설계철근량이 다음표와같이계산되었다.암거의주철근조립도를 그리시오. (2경간) (1경간) 부재위치 설계철근량 상부슬래브좌측단부 H29–8EA 1경간중앙부 H29–4EA+H25-4EA 중간지점부 H32–8EA 2경간중앙부...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