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그림과같은양단고정보중앙에집중하중이작용할때붕괴메카니즘을 작도하여 붕괴하중을구하고,이때의휨모멘트도를그리시오. (단,보의소성모멘트는 )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그림과같은양단고정보중앙에집중하중이작용할때붕괴메카니즘을 작도하여 붕괴하중을구하고,이때의휨모멘트도를그리시오. (단,보의소성모멘트는 )에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12번  |  그림과같은양단고정보중앙에집중하중이작용할때붕괴메카니즘을 작도하여 붕괴하중을구하고,이때의휨모멘트도를그리시오. (단,보의소성모멘트는 )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