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교량내진설계기준(한계상태설계법)(KDS241711:2021)에서명시하고있는지진 격리설계를적용하지않는조건3가지를제시하고,그이유를설명하시오.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교량내진설계기준(한계상태설계법)(KDS241711:2021)에서명시하고있는지진 격리설계를적용하지않는조건3가지를제시하고,그이유를설명하시오.에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1번  |  교량내진설계기준(한계상태설계법)(KDS241711:2021)에서명시하고있는지진 격리설계를적용하지않는조건3가지를제시하고,그이유를설명하시오.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