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아래그림과같은타정식대칭형1주탑현수교에등분포하중가작용할때주케이블의 최대인장력max,위치에서의처짐(sag),주탑에작용하는축력를주어진조건에 따라구하시오. [조건] -지점a와b에서주케이블의형상은수평선에접한다고가정하여수직반력은무시한다. -케이블의자중은무시한다....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아래그림과같은타정식대칭형1주탑현수교에등분포하중가작용할때주케이블의 최대인장력max,위치에서의처짐(sag),주탑에작용하는축력를주어진조건에 따라구하시오. [조건] -지점a와b에서주케이블의형상은수평선에접한다고가정하여수직반력은무시한다. -케이블의자중은무시한다....에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2교시 6번  |  아래그림과같은타정식대칭형1주탑현수교에등분포하중가작용할때주케이블의 최대인장력max,위치에서의처짐(sag),주탑에작용하는축력를주어진조건에 따라구하시오. [조건] -지점a와b에서주케이블의형상은수평선에접한다고가정하여수직반력은무시한다. -케이블의자중은무시한다....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