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125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6</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6.  </w:t>
            </w:r>
            <w:r>
              <w:rPr>
                <w:rFonts w:ascii="Malgun Gothic" w:hAnsi="Malgun Gothic" w:eastAsia="Malgun Gothic"/>
                <w:b/>
                <w:i w:val="0"/>
                <w:color w:val="0D1B2A"/>
                <w:sz w:val="24"/>
              </w:rPr>
              <w:t>구조물의임의지점에스트레인로제트를사용하여변형률을측정한결과×, ×,×로계측되었다.재료의탄성계수,포아송비 일때스트레인로제트를설치한계측지점의최대주변형률및주응력을구하시오. 45° 45°...</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구조물의임의지점에스트레인로제트를사용하여변형률을측정한결과×, ×,×로계측되었다.재료의탄성계수,포아송비 일때스트레인로제트를설치한계측지점의최대주변형률및주응력을구하시오. 45° 45°...에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제125회 토목구조기술사  |  3교시 6번  |  구조물의임의지점에스트레인로제트를사용하여변형률을측정한결과×, ×,×로계측되었다.재료의탄성계수,포아송비 일때스트레인로제트를설치한계측지점의최대주변형률및주응력을구하시오. 45° 45°...</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