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그림의a지점에서편측긴장된포스트텐션콘크리트단순보의양단부a,c와중앙부 b지점에서정착장치의활동과마찰을고려하여주어진조건에따라PS강재의응력 손실을구하고,부재길이(x축)에대한긴장재의응력(y축)변화를그림으로나타내시오. [조건] -정착장치의활동 -긴장재의곡률마찰계...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그림의a지점에서편측긴장된포스트텐션콘크리트단순보의양단부a,c와중앙부 b지점에서정착장치의활동과마찰을고려하여주어진조건에따라PS강재의응력 손실을구하고,부재길이(x축)에대한긴장재의응력(y축)변화를그림으로나타내시오. [조건] -정착장치의활동 -긴장재의곡률마찰계...에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4교시 5번  |  그림의a지점에서편측긴장된포스트텐션콘크리트단순보의양단부a,c와중앙부 b지점에서정착장치의활동과마찰을고려하여주어진조건에따라PS강재의응력 손실을구하고,부재길이(x축)에대한긴장재의응력(y축)변화를그림으로나타내시오. [조건] -정착장치의활동 -긴장재의곡률마찰계...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