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교량을설계할때고려하여야할하중의종류(고정하중,활하중포함)를도로교설계 기준에의거하여12개를쓰시오.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교량을설계할때고려하여야할하중의종류(고정하중,활하중포함)를도로교설계 기준에의거하여12개를쓰시오.에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12번  |  교량을설계할때고려하여야할하중의종류(고정하중,활하중포함)를도로교설계 기준에의거하여12개를쓰시오.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