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126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플랜지의두께가얇고폭이큰강I형단면이나강박스단면에서의전단지연(Shear Lag)에대하여설명하시오. 2–2 ※채점기준및모범답안은『공공기관의정보공개에관한법률제9조제1항제5호』에의거공개하지않습니다. 국가기술자격기술사시험문제 기술사제126회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플랜지의두께가얇고폭이큰강I형단면이나강박스단면에서의전단지연(Shear Lag)에대하여설명하시오. 2–2 ※채점기준및모범답안은『공공기관의정보공개에관한법률제9조제1항제5호』에의거공개하지않습니다. 국가기술자격기술사시험문제 기술사제126회에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제126회 토목구조기술사  |  1교시 13번  |  플랜지의두께가얇고폭이큰강I형단면이나강박스단면에서의전단지연(Shear Lag)에대하여설명하시오. 2–2 ※채점기준및모범답안은『공공기관의정보공개에관한법률제9조제1항제5호』에의거공개하지않습니다. 국가기술자격기술사시험문제 기술사제126회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