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설계기준,설계지침및설계편람을구분하여설명하고,2021년도에개정된콘크리트 구조설계기준(KDS142000)의주요변경사항에대하여설명하시오. 5–1 국가기술자격기술사시험문제 기술사제126회 제3교시(시험시간:100분)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설계기준,설계지침및설계편람을구분하여설명하고,2021년도에개정된콘크리트 구조설계기준(KDS142000)의주요변경사항에대하여설명하시오. 5–1 국가기술자격기술사시험문제 기술사제126회 제3교시(시험시간:100분)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3교시 3번  |  설계기준,설계지침및설계편람을구분하여설명하고,2021년도에개정된콘크리트 구조설계기준(KDS142000)의주요변경사항에대하여설명하시오. 5–1 국가기술자격기술사시험문제 기술사제126회 제3교시(시험시간:100분)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