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옹벽구조시공상세 &lt;조건&gt; -뒷채움토사의내부마찰각:Φ=30° -흙의단위중량:18kN/m³ -철근콘크리트의 단위중량:25kN/m³ -콘크리트와기초지반의마찰계수:μ=0.4 -기초지반의허용지지력:200kN/m² -안정계산시옹벽전면부의상재토영향과수동토압은무시 5–5 ※채점...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옹벽구조시공상세 &lt;조건&gt; -뒷채움토사의내부마찰각:Φ=30° -흙의단위중량:18kN/m³ -철근콘크리트의 단위중량:25kN/m³ -콘크리트와기초지반의마찰계수:μ=0.4 -기초지반의허용지지력:200kN/m² -안정계산시옹벽전면부의상재토영향과수동토압은무시 5–5 ※채점...에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3교시 3번  |  옹벽구조시공상세 &lt;조건&gt; -뒷채움토사의내부마찰각:Φ=30° -흙의단위중량:18kN/m³ -철근콘크리트의 단위중량:25kN/m³ -콘크리트와기초지반의마찰계수:μ=0.4 -기초지반의허용지지력:200kN/m² -안정계산시옹벽전면부의상재토영향과수동토압은무시 5–5 ※채점...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