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정착후긴장력변화를비교하시오. &lt;조 건&gt; PS강재는의직경을가지는20가닥의강연선으로구성되며, ,,의재료특성을갖는다. 또한,의긴장력을가지도록양쪽단부에서동시에긴장하며, 곡률마찰계수...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정착후긴장력변화를비교하시오. &lt;조 건&gt; PS강재는의직경을가지는20가닥의강연선으로구성되며, ,,의재료특성을갖는다. 또한,의긴장력을가지도록양쪽단부에서동시에긴장하며, 곡률마찰계수...에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2번  |  정착후긴장력변화를비교하시오. &lt;조 건&gt; PS강재는의직경을가지는20가닥의강연선으로구성되며, ,,의재료특성을갖는다. 또한,의긴장력을가지도록양쪽단부에서동시에긴장하며, 곡률마찰계수...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