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도로교설계기준(한계상태설계법)에서공칭압축강도는 다음식을이용해산정한다. ≤인경우 인경우 단여기서부재의총단면적mm 항복강도MPa 강재의탄성계수M...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도로교설계기준(한계상태설계법)에서공칭압축강도는 다음식을이용해산정한다. ≤인경우 인경우 단여기서부재의총단면적mm 항복강도MPa 강재의탄성계수M...에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1교시 12번  |  도로교설계기준(한계상태설계법)에서공칭압축강도는 다음식을이용해산정한다. ≤인경우 인경우 단여기서부재의총단면적mm 항복강도MPa 강재의탄성계수M...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