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2,000kg의질량을갖는터빈을기초에서10m높이의중공원형지주에설치하고자한다. 이때중공원형지주의외경은60cm이고,부재두께는2cm이며,재료의탄성계수는 200GPa이다.터빈의진동을계측했더니임의시점에서의수평방향최대변위가5cm이고, 그다음진동주기에서의수평방향최대변위는4.41...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2,000kg의질량을갖는터빈을기초에서10m높이의중공원형지주에설치하고자한다. 이때중공원형지주의외경은60cm이고,부재두께는2cm이며,재료의탄성계수는 200GPa이다.터빈의진동을계측했더니임의시점에서의수평방향최대변위가5cm이고, 그다음진동주기에서의수평방향최대변위는4.41...에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3교시 6번  |  2,000kg의질량을갖는터빈을기초에서10m높이의중공원형지주에설치하고자한다. 이때중공원형지주의외경은60cm이고,부재두께는2cm이며,재료의탄성계수는 200GPa이다.터빈의진동을계측했더니임의시점에서의수평방향최대변위가5cm이고, 그다음진동주기에서의수평방향최대변위는4.41...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