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지하차도 설계시 적용되는 하중의 종류 및 적용 방법을 서술하고, 한계상태설계법 하중 조합(KDS 14 00 00) 시 하중의 구성(하중계수는 제외)에 대하여 설명하시오. (단, 토피고는 1.0m이고, 지하수위가 있는 경우) 토피고 1.0m 지하수위 지하차도 지하차...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지하차도 설계시 적용되는 하중의 종류 및 적용 방법을 서술하고, 한계상태설계법 하중 조합(KDS 14 00 00) 시 하중의 구성(하중계수는 제외)에 대하여 설명하시오. (단, 토피고는 1.0m이고, 지하수위가 있는 경우) 토피고 1.0m 지하수위 지하차도 지하차...에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2교시 6번  |  지하차도 설계시 적용되는 하중의 종류 및 적용 방법을 서술하고, 한계상태설계법 하중 조합(KDS 14 00 00) 시 하중의 구성(하중계수는 제외)에 대하여 설명하시오. (단, 토피고는 1.0m이고, 지하수위가 있는 경우) 토피고 1.0m 지하수위 지하차도 지하차...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