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그림과 같이 캔틸레버보에 강축방향으로 활하중이 작용하고 있고, 보의 횡변위는 구속되어 있지 않다. H-단면 (SM490)을 사용할 때, 한계상태설계법(KDS 24 14 31)을 적용하여 공칭휨강도와 좌굴안전성을 구하시오. (단, 강재의 단위중량은 78.5kN...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그림과 같이 캔틸레버보에 강축방향으로 활하중이 작용하고 있고, 보의 횡변위는 구속되어 있지 않다. H-단면 (SM490)을 사용할 때, 한계상태설계법(KDS 24 14 31)을 적용하여 공칭휨강도와 좌굴안전성을 구하시오. (단, 강재의 단위중량은 78.5kN...에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3교시 5번  |  다음 그림과 같이 캔틸레버보에 강축방향으로 활하중이 작용하고 있고, 보의 횡변위는 구속되어 있지 않다. H-단면 (SM490)을 사용할 때, 한계상태설계법(KDS 24 14 31)을 적용하여 공칭휨강도와 좌굴안전성을 구하시오. (단, 강재의 단위중량은 78.5kN...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