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구조물에서 케이블 부재 BC에 의하여 지지된 AB부재의 축방향 좌굴에 대한 안전율이 3.0인 경우, 재하 가능한 최대하중 W를 구하시오. (단, B점의 수직처짐과 부재의 압축파괴는 무시하고, AB부재의 탄성계수(E)=2.1x10PMIPa, 유효좌굴길이...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구조물에서 케이블 부재 BC에 의하여 지지된 AB부재의 축방향 좌굴에 대한 안전율이 3.0인 경우, 재하 가능한 최대하중 W를 구하시오. (단, B점의 수직처짐과 부재의 압축파괴는 무시하고, AB부재의 탄성계수(E)=2.1x10PMIPa, 유효좌굴길이...에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3번  |  그림과 같은 구조물에서 케이블 부재 BC에 의하여 지지된 AB부재의 축방향 좌굴에 대한 안전율이 3.0인 경우, 재하 가능한 최대하중 W를 구하시오. (단, B점의 수직처짐과 부재의 압축파괴는 무시하고, AB부재의 탄성계수(E)=2.1x10PMIPa, 유효좌굴길이...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