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그림에서 두께가 얇고 플랜지가 넓은 개량형 PSC 거더에 지지된 캔틸레버부에 고정하중과 활하중(P)이 작용하고 있다. 현행 한계상태설계법으로 제정된 교량설계기준에 근거하여 콘크리트 바닥판에 대하여 다음의 항목을 검토하시오. (단, fa=35MPa, 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그림에서 두께가 얇고 플랜지가 넓은 개량형 PSC 거더에 지지된 캔틸레버부에 고정하중과 활하중(P)이 작용하고 있다. 현행 한계상태설계법으로 제정된 교량설계기준에 근거하여 콘크리트 바닥판에 대하여 다음의 항목을 검토하시오. (단, fa=35MPa, 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1번  |  다음과 같은 그림에서 두께가 얇고 플랜지가 넓은 개량형 PSC 거더에 지지된 캔틸레버부에 고정하중과 활하중(P)이 작용하고 있다. 현행 한계상태설계법으로 제정된 교량설계기준에 근거하여 콘크리트 바닥판에 대하여 다음의 항목을 검토하시오. (단, fa=35MPa, 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