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구조물의 고유진동수와 주기를 구하시오. (단, 부재 AC는 질량이 무시되는 강체이고, A는 힌지이며, m은 스프링에 매달린 질량이다.) 주선 B * 2[ C km m 3- 2 "채점기준 및 모범답안은 「공공기관의 정보공개에 관한 법률 제9조 제1항 제...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구조물의 고유진동수와 주기를 구하시오. (단, 부재 AC는 질량이 무시되는 강체이고, A는 힌지이며, m은 스프링에 매달린 질량이다.) 주선 B * 2[ C km m 3- 2 "채점기준 및 모범답안은 「공공기관의 정보공개에 관한 법률 제9조 제1항 제...에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3번  |  그림과 같은 구조물의 고유진동수와 주기를 구하시오. (단, 부재 AC는 질량이 무시되는 강체이고, A는 힌지이며, m은 스프링에 매달린 질량이다.) 주선 B * 2[ C km m 3- 2 "채점기준 및 모범답안은 「공공기관의 정보공개에 관한 법률 제9조 제1항 제...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