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129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그림과 같이 기둥 상단부에서 압축력 P를 받고 하단부가 고정단으로 지지된 뼈대 구조가 있다. 기둥 상부에 횡방향 변위가 발생하면서 좌굴이 되는 경우, 좌굴하중을 구하시오. (단, 모든 부재의 길이와 강성은 각각 L과 EI로 일정하며, 부재의 축방향 변형과 전단변형...</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그림과 같이 기둥 상단부에서 압축력 P를 받고 하단부가 고정단으로 지지된 뼈대 구조가 있다. 기둥 상부에 횡방향 변위가 발생하면서 좌굴이 되는 경우, 좌굴하중을 구하시오. (단, 모든 부재의 길이와 강성은 각각 L과 EI로 일정하며, 부재의 축방향 변형과 전단변형...에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제129회 토목구조기술사  |  3교시 1번  |  그림과 같이 기둥 상단부에서 압축력 P를 받고 하단부가 고정단으로 지지된 뼈대 구조가 있다. 기둥 상부에 횡방향 변위가 발생하면서 좌굴이 되는 경우, 좌굴하중을 구하시오. (단, 모든 부재의 길이와 강성은 각각 L과 EI로 일정하며, 부재의 축방향 변형과 전단변형...</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