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교축방향 고유진동수 및 고유주기 (1차 모드 질량 참여율을 100%로 가정) (2) 유효수평지반가속도(S) 및 지반증폭계수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교축방향 고유진동수 및 고유주기 (1차 모드 질량 참여율을 100%로 가정) (2) 유효수평지반가속도(S) 및 지반증폭계수에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1번  |  교축방향 고유진동수 및 고유주기 (1차 모드 질량 참여율을 100%로 가정) (2) 유효수평지반가속도(S) 및 지반증폭계수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