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가속도표준설계응답스펙트럼 기반암 깊이, H (m) 1 미만 1~20 이하 분류기준 토층평균전단파속도, Vsolil (m/s) 260 이상 260 미만 20 초과 180 이상 180 미만 부지 고유의 특성평가 및 지반응답해석이 필요한 지반 전이주기 Ts= Fr/(2...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가속도표준설계응답스펙트럼 기반암 깊이, H (m) 1 미만 1~20 이하 분류기준 토층평균전단파속도, Vsolil (m/s) 260 이상 260 미만 20 초과 180 이상 180 미만 부지 고유의 특성평가 및 지반응답해석이 필요한 지반 전이주기 Ts= Fr/(2...에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2번  |  가속도표준설계응답스펙트럼 기반암 깊이, H (m) 1 미만 1~20 이하 분류기준 토층평균전단파속도, Vsolil (m/s) 260 이상 260 미만 20 초과 180 이상 180 미만 부지 고유의 특성평가 및 지반응답해석이 필요한 지반 전이주기 Ts= Fr/(2...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