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적용된 받침 용량의 적정성 100m 50m 50m (A) P (42 15m 풍화암 기반암 • 교각직경 = 2.0m • 교각높이 = 15.0m • 상부 고정하중은 전 연장에 걸쳐 균등하게 W= 200 kN/m 작용 • 중력가속도 = 9.81m/s2 • 토층 평균전단...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적용된 받침 용량의 적정성 100m 50m 50m (A) P (42 15m 풍화암 기반암 • 교각직경 = 2.0m • 교각높이 = 15.0m • 상부 고정하중은 전 연장에 걸쳐 균등하게 W= 200 kN/m 작용 • 중력가속도 = 9.81m/s2 • 토층 평균전단...에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4번  |  적용된 받침 용량의 적정성 100m 50m 50m (A) P (42 15m 풍화암 기반암 • 교각직경 = 2.0m • 교각높이 = 15.0m • 상부 고정하중은 전 연장에 걸쳐 균등하게 W= 200 kN/m 작용 • 중력가속도 = 9.81m/s2 • 토층 평균전단...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