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다음과 같은 그림에서 2경간 교량을 서울지역에 설치하기 위하여 내진설계를 진행하고자 한다. 내진설계는 붕괴방지수준만을 고려하고 내진 I 등급으로 건설하고자 한다. 교각부에 설치된 교량받침은 포트받침 고정단으로 연직용량 4,000kN의 2개로 수평방향 거동에 대한 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다음과 같은 그림에서 2경간 교량을 서울지역에 설치하기 위하여 내진설계를 진행하고자 한다. 내진설계는 붕괴방지수준만을 고려하고 내진 I 등급으로 건설하고자 한다. 교각부에 설치된 교량받침은 포트받침 고정단으로 연직용량 4,000kN의 2개로 수평방향 거동에 대한 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4교시 6번  |  다음과 같은 그림에서 2경간 교량을 서울지역에 설치하기 위하여 내진설계를 진행하고자 한다. 내진설계는 붕괴방지수준만을 고려하고 내진 I 등급으로 건설하고자 한다. 교각부에 설치된 교량받침은 포트받침 고정단으로 연직용량 4,000kN의 2개로 수평방향 거동에 대한 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