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A, B, C 모두 고정단인 경우, 구조물의 수직방향 고유진동수를 구하시오.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A, B, C 모두 고정단인 경우, 구조물의 수직방향 고유진동수를 구하시오.에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2교시 1번  |  A, B, C 모두 고정단인 경우, 구조물의 수직방향 고유진동수를 구하시오.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