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B 지점 손상 시, 손상 전과 동일한 고유진동수를 갖기 위한 수직부재 중량을 구하시오. 1m 1m A B C 5m 3-3 "채점기준 및 기준답안은 「공공기관의 정보공개에 관한 법률 제9조 제1항 제5호』 에 의거 공개하지 않습니다"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B 지점 손상 시, 손상 전과 동일한 고유진동수를 갖기 위한 수직부재 중량을 구하시오. 1m 1m A B C 5m 3-3 "채점기준 및 기준답안은 「공공기관의 정보공개에 관한 법률 제9조 제1항 제5호』 에 의거 공개하지 않습니다"에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2교시 3번  |  B 지점 손상 시, 손상 전과 동일한 고유진동수를 갖기 위한 수직부재 중량을 구하시오. 1m 1m A B C 5m 3-3 "채점기준 및 기준답안은 「공공기관의 정보공개에 관한 법률 제9조 제1항 제5호』 에 의거 공개하지 않습니다"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