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 그림에 나타낸 강재골조구조물(수평부재 3개, 수직부재 1개)에서 수직부재는 강체로 수평변위는 없으며 수직변위만 발생한다. 모든 보의 자중은 무시하고, 보의 휨강성 El=3x10*kN•m2 이며 수직재의 총중량 W=700kN이다. 보의 길이는 5m이고 간격은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 그림에 나타낸 강재골조구조물(수평부재 3개, 수직부재 1개)에서 수직부재는 강체로 수평변위는 없으며 수직변위만 발생한다. 모든 보의 자중은 무시하고, 보의 휨강성 El=3x10*kN•m2 이며 수직재의 총중량 W=700kN이다. 보의 길이는 5m이고 간격은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2교시 6번  |  다음 그림에 나타낸 강재골조구조물(수평부재 3개, 수직부재 1개)에서 수직부재는 강체로 수평변위는 없으며 수직변위만 발생한다. 모든 보의 자중은 무시하고, 보의 휨강성 El=3x10*kN•m2 이며 수직재의 총중량 W=700kN이다. 보의 길이는 5m이고 간격은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