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기본 및 실시설계단계에서 건설사업관리인이 수행하는 설계시공성 검토 절차 및 내용에 대하여 설명하시오. 4- 1 "채점기준 및 기준답안은 「공공기관의 정보공개에 관한 법률 제9조 제1항 제5호』 에 의거 공개하지 않습니다" 3 교시 기술사 제130회 분 건설 야 국...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기본 및 실시설계단계에서 건설사업관리인이 수행하는 설계시공성 검토 절차 및 내용에 대하여 설명하시오. 4- 1 "채점기준 및 기준답안은 「공공기관의 정보공개에 관한 법률 제9조 제1항 제5호』 에 의거 공개하지 않습니다" 3 교시 기술사 제130회 분 건설 야 국...에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제130회 토목구조기술사  |  3교시 3번  |  기본 및 실시설계단계에서 건설사업관리인이 수행하는 설계시공성 검토 절차 및 내용에 대하여 설명하시오. 4- 1 "채점기준 및 기준답안은 「공공기관의 정보공개에 관한 법률 제9조 제1항 제5호』 에 의거 공개하지 않습니다" 3 교시 기술사 제130회 분 건설 야 국...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