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같이 5kN의 무게(W)를 가진 전동기가 외팔보 단부에 설치되어 진동수 0=16 rad/sec인 420kN의 상하 운동을 한다. 외팔보의 자중은 무시하고 감쇠계수를 10%로 가정하여 상하 운동으로 발생하는 외팔보의 최대처짐량과 지지부에 전달되는 힘의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같이 5kN의 무게(W)를 가진 전동기가 외팔보 단부에 설치되어 진동수 0=16 rad/sec인 420kN의 상하 운동을 한다. 외팔보의 자중은 무시하고 감쇠계수를 10%로 가정하여 상하 운동으로 발생하는 외팔보의 최대처짐량과 지지부에 전달되는 힘의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3교시 5번  |  다음 그림과 같이 5kN의 무게(W)를 가진 전동기가 외팔보 단부에 설치되어 진동수 0=16 rad/sec인 420kN의 상하 운동을 한다. 외팔보의 자중은 무시하고 감쇠계수를 10%로 가정하여 상하 운동으로 발생하는 외팔보의 최대처짐량과 지지부에 전달되는 힘의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