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 그림과 같이 계수하중 Pu = 200kN이 작용하는 브라켓의 이음부를 용접치수 8mm로 필릿용접 할 경우의 접합부 안전성을 검토하시오. (단, 모재(SM355)의 인장강도(Fu)는 490MPa로서 전단강도는 충분하며, 탄성해석법을 적용하되 끝돌림 용접은 무시...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 그림과 같이 계수하중 Pu = 200kN이 작용하는 브라켓의 이음부를 용접치수 8mm로 필릿용접 할 경우의 접합부 안전성을 검토하시오. (단, 모재(SM355)의 인장강도(Fu)는 490MPa로서 전단강도는 충분하며, 탄성해석법을 적용하되 끝돌림 용접은 무시...에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4교시 6번  |  다음 그림과 같이 계수하중 Pu = 200kN이 작용하는 브라켓의 이음부를 용접치수 8mm로 필릿용접 할 경우의 접합부 안전성을 검토하시오. (단, 모재(SM355)의 인장강도(Fu)는 490MPa로서 전단강도는 충분하며, 탄성해석법을 적용하되 끝돌림 용접은 무시...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