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1단 고정, 타단 핀고정의 절점이동이 없는 중심압축재에 2,000 kN의 소요 압축강도가 필요할 때 중심압축재의 단면을 주어진 조건으로 강구조 부재 설계기준 (KDS 14 31 10, 하중저항계수설계법)에 따라 검토하시오. (단, 압축재의 길이는...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1단 고정, 타단 핀고정의 절점이동이 없는 중심압축재에 2,000 kN의 소요 압축강도가 필요할 때 중심압축재의 단면을 주어진 조건으로 강구조 부재 설계기준 (KDS 14 31 10, 하중저항계수설계법)에 따라 검토하시오. (단, 압축재의 길이는...에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5번  |  다음 그림과 같이 1단 고정, 타단 핀고정의 절점이동이 없는 중심압축재에 2,000 kN의 소요 압축강도가 필요할 때 중심압축재의 단면을 주어진 조건으로 강구조 부재 설계기준 (KDS 14 31 10, 하중저항계수설계법)에 따라 검토하시오. (단, 압축재의 길이는...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