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132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4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4.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(1-k/3)d (Mp+ME)E 유효탄성계수 Ece M,+(1+8)MD 설계균열간격 Sx= 3.4t+ 0.425k,k2 Pe 인장능력 분포 형태에 따른 계수 kz= 0.5 철근표면상태에 따른 계수 K, = 0.8 3- 2 "채점기준 및 기준답안은 「공공기관의 정보...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(1-k/3)d (Mp+ME)E 유효탄성계수 Ece M,+(1+8)MD 설계균열간격 Sx= 3.4t+ 0.425k,k2 Pe 인장능력 분포 형태에 따른 계수 kz= 0.5 철근표면상태에 따른 계수 K, = 0.8 3- 2 "채점기준 및 기준답안은 「공공기관의 정보...에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제132회 토목구조기술사  |  4교시 4번  |  (1-k/3)d (Mp+ME)E 유효탄성계수 Ece M,+(1+8)MD 설계균열간격 Sx= 3.4t+ 0.425k,k2 Pe 인장능력 분포 형태에 따른 계수 kz= 0.5 철근표면상태에 따른 계수 K, = 0.8 3- 2 "채점기준 및 기준답안은 「공공기관의 정보...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