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용접결함에 의한 균열의 종류와 특성, 용접 후 비파괴검사를 위한 최소 지체시간에 대하여 설명하시오. 3 - 1 "채점기준 및 기준답안은 「공공기관의 정보공개에 관한 법률 제9조 제1항 제5호』 에 의거 공개하지 않습니다" 국가기술자격 기술사 시험문제 4 교시 기술...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용접결함에 의한 균열의 종류와 특성, 용접 후 비파괴검사를 위한 최소 지체시간에 대하여 설명하시오. 3 - 1 "채점기준 및 기준답안은 「공공기관의 정보공개에 관한 법률 제9조 제1항 제5호』 에 의거 공개하지 않습니다" 국가기술자격 기술사 시험문제 4 교시 기술...에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4교시 4번  |  용접결함에 의한 균열의 종류와 특성, 용접 후 비파괴검사를 위한 최소 지체시간에 대하여 설명하시오. 3 - 1 "채점기준 및 기준답안은 「공공기관의 정보공개에 관한 법률 제9조 제1항 제5호』 에 의거 공개하지 않습니다" 국가기술자격 기술사 시험문제 4 교시 기술...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