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두께가 250mm인 교량 바닥 슬래브에서 표준하중조합으로 경간 중앙에서 85kW:m/ m의 힘모멘트가 발생한다. 이 모멘트의 15%는 자중을 포함한 지속하중에 의한 것이고, 나머지 85%는 통행 트럭 하중인 활하중에 의해 유발된 것이다. 극한한계상태 검증에 의해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두께가 250mm인 교량 바닥 슬래브에서 표준하중조합으로 경간 중앙에서 85kW:m/ m의 힘모멘트가 발생한다. 이 모멘트의 15%는 자중을 포함한 지속하중에 의한 것이고, 나머지 85%는 통행 트럭 하중인 활하중에 의해 유발된 것이다. 극한한계상태 검증에 의해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5번  |  두께가 250mm인 교량 바닥 슬래브에서 표준하중조합으로 경간 중앙에서 85kW:m/ m의 힘모멘트가 발생한다. 이 모멘트의 15%는 자중을 포함한 지속하중에 의한 것이고, 나머지 85%는 통행 트럭 하중인 활하중에 의해 유발된 것이다. 극한한계상태 검증에 의해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