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132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그림과 같이 경사버팀보를 45, 2.5m 간격으로 배치하는 흙막이공을 계획하였다. 띠장에 100 kNm의 하중이 작용하고 온도하중에 의한 경사버팀보의 축력(120 kN)을 고려할 때, 허용응력 할증계수의 적용사유를 가설흙막이 설계기준(KDS 21 30 00)에 따...</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그림과 같이 경사버팀보를 45, 2.5m 간격으로 배치하는 흙막이공을 계획하였다. 띠장에 100 kNm의 하중이 작용하고 온도하중에 의한 경사버팀보의 축력(120 kN)을 고려할 때, 허용응력 할증계수의 적용사유를 가설흙막이 설계기준(KDS 21 30 00)에 따...에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제132회 토목구조기술사  |  4교시 6번  |  그림과 같이 경사버팀보를 45, 2.5m 간격으로 배치하는 흙막이공을 계획하였다. 띠장에 100 kNm의 하중이 작용하고 온도하중에 의한 경사버팀보의 축력(120 kN)을 고려할 때, 허용응력 할증계수의 적용사유를 가설흙막이 설계기준(KDS 21 30 00)에 따...</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