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완전 합성거더교 횡단면상의 내측지간이 아래 그림과 같은 단면으로 구성되어 있을 경우 다음 (a), (b)를 산정하시오. (a) 정모멘트 500kN•m를 받는 경우 강재 상•하단과 콘크리트 상단의 응력 (b) 합성보의 공칭휨강도 [조건] • 상부콘크리트 슬래브: -...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완전 합성거더교 횡단면상의 내측지간이 아래 그림과 같은 단면으로 구성되어 있을 경우 다음 (a), (b)를 산정하시오. (a) 정모멘트 500kN•m를 받는 경우 강재 상•하단과 콘크리트 상단의 응력 (b) 합성보의 공칭휨강도 [조건] • 상부콘크리트 슬래브: -...에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6번  |  완전 합성거더교 횡단면상의 내측지간이 아래 그림과 같은 단면으로 구성되어 있을 경우 다음 (a), (b)를 산정하시오. (a) 정모멘트 500kN•m를 받는 경우 강재 상•하단과 콘크리트 상단의 응력 (b) 합성보의 공칭휨강도 [조건] • 상부콘크리트 슬래브: -...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