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같은 브레이싱 구조를 설계하고자 한다. 이음판과 기둥의 고장력 볼트이음은 지압접합으로, 브레이싱 부재와 이음판은 용접접합으로 설계한다. 브레이싱 부재에 발생하는 극한하중상태에서의 인장단면력(Tw)은 1,000 kN이며 고장력볼트는 F10T-M22를 사용하고...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같은 브레이싱 구조를 설계하고자 한다. 이음판과 기둥의 고장력 볼트이음은 지압접합으로, 브레이싱 부재와 이음판은 용접접합으로 설계한다. 브레이싱 부재에 발생하는 극한하중상태에서의 인장단면력(Tw)은 1,000 kN이며 고장력볼트는 F10T-M22를 사용하고...에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6번  |  그림과 같은 브레이싱 구조를 설계하고자 한다. 이음판과 기둥의 고장력 볼트이음은 지압접합으로, 브레이싱 부재와 이음판은 용접접합으로 설계한다. 브레이싱 부재에 발생하는 극한하중상태에서의 인장단면력(Tw)은 1,000 kN이며 고장력볼트는 F10T-M22를 사용하고...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