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보 부재에 모멘트를 유발하는 등분포 하중 W가 작용할 때, 보 부재의 압축단면력 P에 의한 모멘트 증가계수를 구하시오. (단, 보 부재의 압축단면력은 보 부재 오일러 좌굴하중의 25% 크기로 작용한다.) W P P ty; L 3- 1 "채점기준 및 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보 부재에 모멘트를 유발하는 등분포 하중 W가 작용할 때, 보 부재의 압축단면력 P에 의한 모멘트 증가계수를 구하시오. (단, 보 부재의 압축단면력은 보 부재 오일러 좌굴하중의 25% 크기로 작용한다.) W P P ty; L 3- 1 "채점기준 및 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3번  |  그림과 같이 보 부재에 모멘트를 유발하는 등분포 하중 W가 작용할 때, 보 부재의 압축단면력 P에 의한 모멘트 증가계수를 구하시오. (단, 보 부재의 압축단면력은 보 부재 오일러 좌굴하중의 25% 크기로 작용한다.) W P P ty; L 3- 1 "채점기준 및 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