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 설계기준(국토교통부) 중 교량 설계하중조합(한계상태설계법)(KDS 24 12 11)에서는 다음과 같이 한계상태 하중조합(도로교)을 규정하고 있다. 극한 I~ 극한V 하중조합의 각 특성에 대하여 설명하시오. 하중 한계상태 하중조합 DC DD DW EH IM E...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 설계기준(국토교통부) 중 교량 설계하중조합(한계상태설계법)(KDS 24 12 11)에서는 다음과 같이 한계상태 하중조합(도로교)을 규정하고 있다. 극한 I~ 극한V 하중조합의 각 특성에 대하여 설명하시오. 하중 한계상태 하중조합 DC DD DW EH IM E...에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4교시 4번  |  교량 설계기준(국토교통부) 중 교량 설계하중조합(한계상태설계법)(KDS 24 12 11)에서는 다음과 같이 한계상태 하중조합(도로교)을 규정하고 있다. 극한 I~ 극한V 하중조합의 각 특성에 대하여 설명하시오. 하중 한계상태 하중조합 DC DD DW EH IM E...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