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강구조 부재 설계기준(하중저항계수설계법)(KDS 14 31 10)에 따른 다중 강재박스단면의 활하중 분배계수 적용을 위한 제한조건에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강구조 부재 설계기준(하중저항계수설계법)(KDS 14 31 10)에 따른 다중 강재박스단면의 활하중 분배계수 적용을 위한 제한조건에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1교시 10번  |  강구조 부재 설계기준(하중저항계수설계법)(KDS 14 31 10)에 따른 다중 강재박스단면의 활하중 분배계수 적용을 위한 제한조건에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